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Općinsko 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2140-14-01-24-11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Na temelju članka 72. stavak 1 Zakona o komunalnom gospodarstvu (“Narodne novine” br. 68/18, 110/18, 32/20) i članka 30. Statuta Općine Hum na Sutli ("Službeni glasnik Krapinsko-Zagorske županije" br. 9/21), Općinsko vijeće Općine Hum na Sutli na sjednici održanoj dana 16. prosinca 2024. godine donijelo je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i w:val="1"/>
          <w:sz w:val="24"/>
        </w:rPr>
        <w:t xml:space="preserve">P R O G R A M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i w:val="1"/>
          <w:sz w:val="24"/>
        </w:rPr>
        <w:t xml:space="preserve">održavanja komunalne infrastrukture za 2025. godinu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i w:val="1"/>
          <w:sz w:val="24"/>
        </w:rPr>
        <w:t xml:space="preserve"> </w:t>
      </w:r>
    </w:p>
    <w:p>
      <w:pPr>
        <w:jc w:val="center"/>
        <w:spacing w:lineRule="auto" w:line="240" w:after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i w:val="1"/>
          <w:sz w:val="22"/>
        </w:rPr>
        <w:t xml:space="preserve">Članak 1.</w:t>
      </w:r>
      <w:r>
        <w:rPr>
          <w:rFonts w:ascii="Arial" w:hAnsi="Arial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Ovim Programom utvrđuje se opseg održavanja komunalne infrastrukture na području općine Hum na Sutli u 2025. godini za slijedeće komunalne djelatnosti:</w:t>
      </w:r>
    </w:p>
    <w:p>
      <w:pPr>
        <w:jc w:val="both"/>
        <w:spacing w:lineRule="auto" w:line="240" w:after="0" w:beforeAutospacing="0" w:afterAutospacing="0"/>
        <w:ind w:firstLine="0" w:left="42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1. održavanje nerazvrstanih cesta</w:t>
      </w:r>
    </w:p>
    <w:p>
      <w:pPr>
        <w:jc w:val="both"/>
        <w:spacing w:lineRule="auto" w:line="240" w:after="0" w:beforeAutospacing="0" w:afterAutospacing="0"/>
        <w:ind w:firstLine="0" w:left="42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2. održavanje javnih površina na kojima nije dopušten promet motornim vozilima</w:t>
      </w:r>
    </w:p>
    <w:p>
      <w:pPr>
        <w:jc w:val="both"/>
        <w:spacing w:lineRule="auto" w:line="240" w:after="0" w:beforeAutospacing="0" w:afterAutospacing="0"/>
        <w:ind w:firstLine="0" w:left="42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3. održavanje građevina javne odvodnje oborinskih voda</w:t>
      </w:r>
    </w:p>
    <w:p>
      <w:pPr>
        <w:jc w:val="both"/>
        <w:spacing w:lineRule="auto" w:line="240" w:after="0" w:beforeAutospacing="0" w:afterAutospacing="0"/>
        <w:ind w:firstLine="0" w:left="42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4. održavanje javnih zelenih površina</w:t>
      </w:r>
    </w:p>
    <w:p>
      <w:pPr>
        <w:jc w:val="both"/>
        <w:spacing w:lineRule="auto" w:line="240" w:after="0" w:beforeAutospacing="0" w:afterAutospacing="0"/>
        <w:ind w:firstLine="0" w:left="42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5. održavanje građevina, uređaja i predmeta javne namjene</w:t>
      </w:r>
    </w:p>
    <w:p>
      <w:pPr>
        <w:jc w:val="both"/>
        <w:spacing w:lineRule="auto" w:line="240" w:after="0" w:beforeAutospacing="0" w:afterAutospacing="0"/>
        <w:ind w:firstLine="0" w:left="42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6. održavanje groblja</w:t>
      </w:r>
    </w:p>
    <w:p>
      <w:pPr>
        <w:jc w:val="both"/>
        <w:spacing w:lineRule="auto" w:line="240" w:after="0" w:beforeAutospacing="0" w:afterAutospacing="0"/>
        <w:ind w:firstLine="0" w:left="42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7. održavanje čistoće javnih površina</w:t>
      </w:r>
    </w:p>
    <w:p>
      <w:pPr>
        <w:jc w:val="both"/>
        <w:spacing w:lineRule="auto" w:line="240" w:after="0" w:beforeAutospacing="0" w:afterAutospacing="0"/>
        <w:ind w:firstLine="0" w:left="42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8. održavanje javne rasvjete.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after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i w:val="1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Ovim Programom, a popraćeno financijskim sredstvima Proračuna Općine za 2025. godinu,  predviđaju se slijedeći izvori financiranja: </w:t>
      </w:r>
      <w:r>
        <w:rPr>
          <w:rFonts w:ascii="Arial" w:hAnsi="Arial"/>
          <w:sz w:val="22"/>
        </w:rPr>
        <w:t xml:space="preserve"> </w:t>
      </w:r>
    </w:p>
    <w:tbl>
      <w:tblPr>
        <w:tblStyle w:val="T0"/>
        <w:tblInd w:w="0" w:type="dxa"/>
        <w:tblLayout w:type="fixed"/>
        <w:tblW w:w="9515" w:type="dxa"/>
      </w:tblPr>
      <w:tblGrid/>
      <w:tr>
        <w:tc>
          <w:tcPr>
            <w:tcW w:w="8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sz w:val="20"/>
              </w:rPr>
              <w:t>red.br.</w:t>
            </w:r>
          </w:p>
        </w:tc>
        <w:tc>
          <w:tcPr>
            <w:tcW w:w="700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sz w:val="22"/>
              </w:rPr>
              <w:t xml:space="preserve">Naziv financiranja</w:t>
            </w:r>
          </w:p>
        </w:tc>
        <w:tc>
          <w:tcPr>
            <w:tcW w:w="165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sz w:val="22"/>
              </w:rPr>
              <w:t xml:space="preserve">Iznos (€)</w:t>
            </w:r>
          </w:p>
        </w:tc>
      </w:tr>
      <w:tr>
        <w:tc>
          <w:tcPr>
            <w:tcW w:w="8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70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Komunalna naknada</w:t>
            </w:r>
          </w:p>
        </w:tc>
        <w:tc>
          <w:tcPr>
            <w:tcW w:w="165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369.500,00</w:t>
            </w:r>
          </w:p>
        </w:tc>
      </w:tr>
      <w:tr>
        <w:tc>
          <w:tcPr>
            <w:tcW w:w="8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70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Vodni doprinos</w:t>
            </w:r>
          </w:p>
        </w:tc>
        <w:tc>
          <w:tcPr>
            <w:tcW w:w="165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1.000,00</w:t>
            </w:r>
          </w:p>
        </w:tc>
      </w:tr>
      <w:tr>
        <w:tc>
          <w:tcPr>
            <w:tcW w:w="8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70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Tekuće pomoći od izvanproračunskih korisnika Državnog proračuna</w:t>
            </w:r>
          </w:p>
        </w:tc>
        <w:tc>
          <w:tcPr>
            <w:tcW w:w="165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22.000,00</w:t>
            </w:r>
          </w:p>
        </w:tc>
      </w:tr>
      <w:tr>
        <w:tc>
          <w:tcPr>
            <w:tcW w:w="8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70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Naknada za ceste</w:t>
            </w:r>
          </w:p>
        </w:tc>
        <w:tc>
          <w:tcPr>
            <w:tcW w:w="165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5.900,00</w:t>
            </w:r>
          </w:p>
        </w:tc>
      </w:tr>
      <w:tr>
        <w:tc>
          <w:tcPr>
            <w:tcW w:w="8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70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Opći prihodi i primici</w:t>
            </w:r>
          </w:p>
        </w:tc>
        <w:tc>
          <w:tcPr>
            <w:tcW w:w="165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304.000,00</w:t>
            </w:r>
          </w:p>
        </w:tc>
      </w:tr>
      <w:tr>
        <w:tc>
          <w:tcPr>
            <w:tcW w:w="8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70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Tekuće pomoći iz Državnog proračuna</w:t>
            </w:r>
          </w:p>
        </w:tc>
        <w:tc>
          <w:tcPr>
            <w:tcW w:w="165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50.000,00</w:t>
            </w:r>
          </w:p>
        </w:tc>
      </w:tr>
      <w:tr>
        <w:tc>
          <w:tcPr>
            <w:tcW w:w="8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70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sz w:val="22"/>
              </w:rPr>
              <w:t xml:space="preserve">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sz w:val="22"/>
              </w:rPr>
              <w:t>UKUPNO:</w:t>
            </w:r>
          </w:p>
        </w:tc>
        <w:tc>
          <w:tcPr>
            <w:tcW w:w="165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752.400,00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b w:val="1"/>
          <w:i w:val="1"/>
          <w:sz w:val="22"/>
        </w:rPr>
      </w:pPr>
      <w:r>
        <w:rPr>
          <w:rFonts w:ascii="Arial" w:hAnsi="Arial"/>
          <w:b w:val="1"/>
          <w:i w:val="1"/>
          <w:sz w:val="22"/>
        </w:rPr>
        <w:t xml:space="preserve">Članak 3.</w:t>
      </w:r>
      <w:r>
        <w:rPr>
          <w:rFonts w:ascii="Arial" w:hAnsi="Arial"/>
          <w:b w:val="1"/>
          <w:i w:val="1"/>
          <w:sz w:val="22"/>
        </w:rPr>
        <w:tab/>
      </w:r>
    </w:p>
    <w:p>
      <w:pPr>
        <w:jc w:val="left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Ovim programom planirana sredstva raspoređuju se kako slijedi:</w:t>
      </w:r>
    </w:p>
    <w:tbl>
      <w:tblPr>
        <w:tblStyle w:val="T0"/>
        <w:tblInd w:w="0" w:type="dxa"/>
        <w:tblLayout w:type="fixed"/>
        <w:tblW w:w="10145" w:type="dxa"/>
      </w:tblPr>
      <w:tblGrid/>
      <w:tr>
        <w:trPr>
          <w:trHeight w:hRule="atLeast" w:val="582"/>
        </w:trPr>
        <w:tc>
          <w:tcPr>
            <w:tcW w:w="79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redbr.</w:t>
            </w:r>
          </w:p>
        </w:tc>
        <w:tc>
          <w:tcPr>
            <w:tcW w:w="771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Djelatnost</w:t>
            </w:r>
          </w:p>
        </w:tc>
        <w:tc>
          <w:tcPr>
            <w:tcW w:w="16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Planirana sredstva (€)</w:t>
            </w:r>
          </w:p>
        </w:tc>
      </w:tr>
      <w:tr>
        <w:tc>
          <w:tcPr>
            <w:tcW w:w="79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1.</w:t>
            </w:r>
          </w:p>
        </w:tc>
        <w:tc>
          <w:tcPr>
            <w:tcW w:w="771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Održavanje čistoće javnih površina - vršit će se prema Programu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čišćenje javnih površina u centru Huma na Sutli - dva puta tjedno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oko stambeno poslovnih zgrada kćbr. 157., 158., 159. i 160., asfaltna površina od graničnog prijelaza do OŠ, parkirališta i površina kod graničnog prijelaza,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nogostupa i prometnica od Vetropack Straže do centra Huma na Sutli i do Doma zdravlja,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nogostupa i prometnica od centra Huma na Sutli – radiona IMPSO – Starček.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asfaltna površina od tržnice do ulaza u dječji vrtić,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zelene površine uz spomenute površine u širini od pet metara s obje strane (isključene privatne površine),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čišćenje odnosno pražnjenje koševa za otpatke - dva puta tjedno,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-za vrijeme trajanja školske godine pražnjenje koševa za otpatke i skupljanje smeća vršit će se svakim radnim danom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*čišćenje autobusnih stajališta jednom tjedno, košnja trave 4-5 puta godišnje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čišćenje eko-otoka jednom tjedno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čišćenje asfaltnih površina - jednom mjesečno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raskršće Hum na Sutli - Lastine - Druškovec te slijedeći odvojci cesta u dužini od 50 metara: prema Humu na Sutli, prema Druškovcu, prema Lastinama, prema Vrbišnici,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i prometnica od Sekušaka do Gornjeg Huma i cesta uz stambene zgrade kćbr. 154., 155. i 156.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od Doma kulture do Leskovog Grma -Irgeher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u Klenovcu Humskom od Čuček Stanka do raskršća za Vulicu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Gornji Hum – Lastine – Mali Tabor – Prišlin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u Prišlinu uz D229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Prišlin – Poredje (Pildek)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Poredje (Bračun) – skretanje za Zalug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Druškovec (D206) – Područna škola Druškovec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nogostup Lupinjak – od benzinske do kapelice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čišćenje javno – prometnih površina do crkvi Taborsko (od groblja do crkve), Prišlin (raskršće oko crkve) i Lastine (od D206 do odvojka za nogometno igralište)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čišćenje dječjeg igrališta VETRO-PARK - u periodu od 15.06. do 01.09., tj. dva puta tjedno.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košnja trave na općinskoj parceli u Brezno Donjem 47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čišćenje asfaltnih površina i slivnika od sipine od zimskog posipavanja cesta - jednom godišnje tijekom ožujka/travnja.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sol i sipina za zimsku službu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zimsko čišćenje i posipavanje nerazvrstanih cesta i uklanjanje snijega sa parkirališta, prilaza školama, mrtvačnicama, vatrogasnim domovima  </w:t>
            </w:r>
          </w:p>
        </w:tc>
        <w:tc>
          <w:tcPr>
            <w:tcW w:w="16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>
            <w:pPr>
              <w:jc w:val="right"/>
              <w:spacing w:lineRule="auto" w:line="240" w:after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40.000,00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10.000,00 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4.000,00 </w:t>
            </w:r>
          </w:p>
          <w:p>
            <w:pPr>
              <w:jc w:val="right"/>
              <w:spacing w:lineRule="auto" w:line="240" w:befor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  <w:u w:val="single"/>
              </w:rPr>
              <w:t>40.000,00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ab/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i w:val="1"/>
                <w:sz w:val="22"/>
              </w:rPr>
              <w:t xml:space="preserve"> </w:t>
            </w:r>
            <w:r>
              <w:rPr>
                <w:rFonts w:ascii="Arial" w:hAnsi="Arial"/>
                <w:b w:val="1"/>
                <w:i w:val="1"/>
                <w:sz w:val="22"/>
              </w:rPr>
              <w:t>94.000,00</w:t>
            </w: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</w:tc>
      </w:tr>
      <w:tr>
        <w:tc>
          <w:tcPr>
            <w:tcW w:w="79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2.</w:t>
            </w:r>
          </w:p>
        </w:tc>
        <w:tc>
          <w:tcPr>
            <w:tcW w:w="771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Održavanje javnih površina – vršit će se prema Programu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košnja trave 4 – 5 puta godišnje,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- čišćenje zelenih površina od lišća – 2 puta godišnje</w:t>
            </w:r>
          </w:p>
        </w:tc>
        <w:tc>
          <w:tcPr>
            <w:tcW w:w="16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25.000,00</w:t>
            </w:r>
          </w:p>
        </w:tc>
      </w:tr>
      <w:tr>
        <w:tc>
          <w:tcPr>
            <w:tcW w:w="79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3.</w:t>
            </w:r>
          </w:p>
        </w:tc>
        <w:tc>
          <w:tcPr>
            <w:tcW w:w="7714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Održavanje nerazvrstanih cesta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rekonstrukcija (presvlačenje) oštećenih dionica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obuhvaća redovno održavanje općinskih cesta u pogledu kamenog materijala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prijevoz kamenog materijala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 redovno održavanje cesta: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- sanacija i popravak nerazvrstanih cesta prema programu održavanja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- sanacija bankina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- sanacija pješačkih staza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- čišćenje slivnika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- čišćenje odvodnih jaraka i sanacija propusta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 košnja trave i sjeća granja uz bankine vršiti 2 puta godišnje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prometna signalizacija (nabava prometnih znakova uz nerazvrstane ceste, iscrtavanje vertikalne signalizacije; nabava tabli s nazivima sela uz državne i županijske ceste; nabava prometnih ogledala, popravak prometnih znakova)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 osiguranje cesta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 nabava betonskih i PVC cijevi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70.000,00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  12.000,00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1.000,00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150.000,00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30.000,00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6.000,00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4.000,00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  <w:u w:val="single"/>
              </w:rPr>
              <w:t>3.000,00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276.000,00</w:t>
            </w:r>
          </w:p>
        </w:tc>
      </w:tr>
      <w:tr>
        <w:tc>
          <w:tcPr>
            <w:tcW w:w="79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4.</w:t>
            </w:r>
          </w:p>
        </w:tc>
        <w:tc>
          <w:tcPr>
            <w:tcW w:w="771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Sanacija klizišta</w:t>
            </w:r>
          </w:p>
        </w:tc>
        <w:tc>
          <w:tcPr>
            <w:tcW w:w="16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200.000,00</w:t>
            </w:r>
          </w:p>
        </w:tc>
      </w:tr>
      <w:tr>
        <w:tc>
          <w:tcPr>
            <w:tcW w:w="79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5.</w:t>
            </w:r>
          </w:p>
        </w:tc>
        <w:tc>
          <w:tcPr>
            <w:tcW w:w="771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Javna rasvjeta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troškovi utrošene električne energije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troškovi održavanja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* racionalizacija javne rasvjete</w:t>
            </w:r>
          </w:p>
        </w:tc>
        <w:tc>
          <w:tcPr>
            <w:tcW w:w="16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35.000,00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>22.400,00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  <w:u w:val="single"/>
              </w:rPr>
              <w:t>20.000,00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77.400,00</w:t>
            </w:r>
          </w:p>
        </w:tc>
      </w:tr>
      <w:tr>
        <w:tc>
          <w:tcPr>
            <w:tcW w:w="79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6.</w:t>
            </w:r>
          </w:p>
        </w:tc>
        <w:tc>
          <w:tcPr>
            <w:tcW w:w="771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Održavanje groblja</w:t>
            </w:r>
          </w:p>
        </w:tc>
        <w:tc>
          <w:tcPr>
            <w:tcW w:w="16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80.000,00</w:t>
            </w:r>
          </w:p>
        </w:tc>
      </w:tr>
      <w:tr>
        <w:tc>
          <w:tcPr>
            <w:tcW w:w="79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</w:tc>
        <w:tc>
          <w:tcPr>
            <w:tcW w:w="771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>SVEUKUPNO:</w:t>
            </w:r>
          </w:p>
        </w:tc>
        <w:tc>
          <w:tcPr>
            <w:tcW w:w="16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 w:val="1"/>
                <w:i w:val="1"/>
                <w:sz w:val="22"/>
              </w:rPr>
              <w:t xml:space="preserve">752.400,00 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i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i w:val="1"/>
          <w:sz w:val="22"/>
        </w:rPr>
        <w:t xml:space="preserve">Članak 4.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Ovaj Program održavanja komunalne infrastrukture za 2025. godinu objaviti će se u "Službenom glasniku Krapinsko-zagorske županije”.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720" w:left="432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PREDSJEDNIK</w:t>
      </w:r>
    </w:p>
    <w:p>
      <w:pPr>
        <w:spacing w:lineRule="auto" w:line="240" w:beforeAutospacing="0" w:afterAutospacing="0"/>
        <w:ind w:firstLine="720" w:left="576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        OPĆINSKOG VIJEĆA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850" w:right="709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2024-12-19T08:04:31Z</dcterms:created>
  <dcterms:modified xsi:type="dcterms:W3CDTF">2024-12-19T08:04:31Z</dcterms:modified>
</cp:coreProperties>
</file>