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Općinsko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2140-14-01-24-13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 temelju članka 67. Zakona o komunalnom gospodarstvu (“Narodne novine” broj. 68/18, 110/18, 32/20) i članka 30. Statuta općine Hum na Sutli ("Službeni glasnik KZŽ" br. 9/21), Općinsko vijeće Općine Hum na Sutli na sjednici održanoj 16. prosinca 2024. godine donijelo je slijedeći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firstLine="720" w:left="3528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Program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izgradnje javne rasvjete u 2025. godini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te plan izgradnje javne rasvjete u 2026. i 2027. godini  </w:t>
      </w:r>
    </w:p>
    <w:p>
      <w:pPr>
        <w:spacing w:lineRule="auto" w:line="240" w:before="240" w:after="60" w:beforeAutospacing="0" w:afterAutospacing="0"/>
        <w:ind w:left="0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I.A./ 2025. godina</w:t>
      </w:r>
    </w:p>
    <w:p>
      <w:pPr>
        <w:jc w:val="both"/>
        <w:spacing w:lineRule="auto" w:line="240" w:before="0" w:after="0" w:beforeAutospacing="0" w:afterAutospacing="0"/>
        <w:ind w:left="360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Mali Tabor – Kurte</w:t>
      </w:r>
    </w:p>
    <w:p>
      <w:pPr>
        <w:jc w:val="both"/>
        <w:spacing w:lineRule="auto" w:line="240" w:before="0" w:after="0" w:beforeAutospacing="0" w:afterAutospacing="0"/>
        <w:ind w:left="360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Vrbišnica – Veternjak (Očko Marijan – Jutriša Denis)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Izgradnja javne rasvjete financirat će se iz:</w:t>
      </w:r>
    </w:p>
    <w:p>
      <w:pPr>
        <w:jc w:val="both"/>
        <w:spacing w:lineRule="auto" w:line="240" w:before="0" w:after="0" w:beforeAutospacing="0" w:afterAutospacing="0"/>
        <w:ind w:hanging="360" w:left="360" w:right="0"/>
        <w:tabs>
          <w:tab w:val="left" w:pos="360" w:leader="none"/>
        </w:tabs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 xml:space="preserve">proračuna jedinice lokalne samouprave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I.B./ 2026. godina</w:t>
      </w:r>
    </w:p>
    <w:p>
      <w:pPr>
        <w:jc w:val="both"/>
        <w:spacing w:lineRule="auto" w:line="240" w:before="0" w:after="0" w:beforeAutospacing="0" w:afterAutospacing="0"/>
        <w:ind w:left="426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Lupinjak (restoran Tabor) – Debeljak - Kranjec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Izgradnja javne rasvjete financirat će se iz:</w:t>
      </w:r>
    </w:p>
    <w:p>
      <w:pPr>
        <w:jc w:val="both"/>
        <w:spacing w:lineRule="auto" w:line="240" w:before="0" w:after="0" w:beforeAutospacing="0" w:afterAutospacing="0"/>
        <w:ind w:hanging="360" w:left="360" w:right="0"/>
        <w:tabs>
          <w:tab w:val="left" w:pos="360" w:leader="none"/>
        </w:tabs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 xml:space="preserve">proračuna jedinice lokalne samouprave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I.C./ 2027. godina</w:t>
      </w:r>
    </w:p>
    <w:p>
      <w:pPr>
        <w:jc w:val="both"/>
        <w:spacing w:lineRule="auto" w:line="240" w:before="0" w:after="0" w:beforeAutospacing="0" w:afterAutospacing="0"/>
        <w:numPr>
          <w:numId w:val="1"/>
        </w:numPr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Strmec Humski uz D207 (Krklec – Tepeš)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Izgradnja javne rasvjete financirat će se iz:</w:t>
      </w:r>
    </w:p>
    <w:p>
      <w:pPr>
        <w:jc w:val="both"/>
        <w:spacing w:lineRule="auto" w:line="240" w:before="0" w:after="0" w:beforeAutospacing="0" w:afterAutospacing="0"/>
        <w:ind w:hanging="360" w:left="360" w:right="0"/>
        <w:tabs>
          <w:tab w:val="left" w:pos="360" w:leader="none"/>
        </w:tabs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 xml:space="preserve">proračuna jedinice lokalne samouprave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i w:val="1"/>
          <w:sz w:val="22"/>
        </w:rPr>
        <w:t>II</w:t>
      </w:r>
      <w:r>
        <w:rPr>
          <w:rFonts w:ascii="Times New Roman" w:hAnsi="Times New Roman"/>
          <w:b w:val="1"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Program izgradnje javne rasvjete naveden pod točkama I.A., I.B. i I.C. mijenjat će se: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* ukoliko neće biti zadovoljeni tehnički uvjeti izgradnje od strane HEP-a.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i w:val="1"/>
          <w:sz w:val="22"/>
        </w:rPr>
        <w:t xml:space="preserve">III. </w:t>
      </w:r>
      <w:r>
        <w:rPr>
          <w:rFonts w:ascii="Times New Roman" w:hAnsi="Times New Roman"/>
          <w:sz w:val="22"/>
        </w:rPr>
        <w:t xml:space="preserve">Program izgradnje javne rasvjete pod I.B. i I.C. podrobno će se definirati naknadno.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i w:val="1"/>
          <w:sz w:val="22"/>
        </w:rPr>
        <w:t>IV.</w:t>
      </w:r>
      <w:r>
        <w:rPr>
          <w:rFonts w:ascii="Times New Roman" w:hAnsi="Times New Roman"/>
          <w:sz w:val="22"/>
        </w:rPr>
        <w:t xml:space="preserve"> Ovaj Program izgradnje javne rasvjete u 2025. godini te plan izgradnje javne rasvjete u 2026. i 2027. godini objavljuje se u "Službenom glasniku Krapinsko-zagorske županije”.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="0" w:after="0" w:beforeAutospacing="0" w:afterAutospacing="0"/>
        <w:ind w:left="5669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PREDSJEDNIK</w:t>
      </w:r>
    </w:p>
    <w:p>
      <w:pPr>
        <w:jc w:val="center"/>
        <w:spacing w:lineRule="auto" w:line="240" w:before="0" w:after="0" w:beforeAutospacing="0" w:afterAutospacing="0"/>
        <w:ind w:left="5669" w:right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OPĆINSKOG  VIJEĆA</w:t>
      </w:r>
    </w:p>
    <w:p>
      <w:pPr>
        <w:jc w:val="center"/>
        <w:spacing w:lineRule="auto" w:line="240" w:before="0" w:after="0" w:beforeAutospacing="0" w:afterAutospacing="0"/>
        <w:ind w:left="5669" w:right="0"/>
        <w:pStyle w:val="P0"/>
        <w:rPr>
          <w:sz w:val="24"/>
        </w:rPr>
      </w:pPr>
      <w:r>
        <w:rPr>
          <w:rFonts w:ascii="Times New Roman" w:hAnsi="Times New Roman"/>
          <w:sz w:val="22"/>
        </w:rPr>
        <w:t xml:space="preserve">Mario Antonić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992" w:right="851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2024-12-19T08:40:52Z</dcterms:created>
  <dcterms:modified xsi:type="dcterms:W3CDTF">2024-12-19T08:40:52Z</dcterms:modified>
</cp:coreProperties>
</file>