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400-01/24-01/38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2140-14-01-24-3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temelju članka 111. Zakona o zaštiti i očuvanju kulturnih dobara („Narodne novine“ br. 69/99, 151/03, 157/03, 100/04, 87/09, 88/10, 61/11, 25/12, 136/12, 157/13, 152/14, 98/15, 44/17, 90/18, 32/20, 62/20,  117/21, 114/22) i članka 30. Statuta Općine Hum na Sutli („Službeni glasnik Krapinsko-zagorske županije“ br. 9/21) općinsko vijeće Općine Hum na Sutli na sjednici održanoj  16. prosinca 2024. godine donijelo je slijedeći</w:t>
      </w:r>
      <w:r>
        <w:rPr>
          <w:rFonts w:ascii="Calibri" w:hAnsi="Calibri"/>
          <w:sz w:val="22"/>
        </w:rPr>
        <w:tab/>
      </w:r>
    </w:p>
    <w:p>
      <w:pPr>
        <w:spacing w:lineRule="auto" w:line="240" w:after="0" w:beforeAutospacing="0" w:afterAutospacing="0"/>
        <w:ind w:right="1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b w:val="1"/>
          <w:sz w:val="22"/>
        </w:rPr>
        <w:t xml:space="preserve">Izmjenu Programa</w:t>
      </w:r>
    </w:p>
    <w:p>
      <w:pPr>
        <w:jc w:val="center"/>
        <w:spacing w:lineRule="auto" w:line="240" w:beforeAutospacing="0" w:afterAutospacing="0"/>
        <w:ind w:right="1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korištenja sredstava ostvarenih od spomeničke rente za 2024. godinu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I.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Mijena se točka II.  </w:t>
      </w:r>
      <w:r>
        <w:rPr>
          <w:rFonts w:ascii="Calibri" w:hAnsi="Calibri"/>
          <w:sz w:val="22"/>
        </w:rPr>
        <w:t xml:space="preserve">Programa korištenja sredstava ostvarenih od spomeničke rente </w:t>
      </w:r>
      <w:r>
        <w:rPr>
          <w:rFonts w:ascii="Calibri" w:hAnsi="Calibri"/>
          <w:sz w:val="22"/>
        </w:rPr>
        <w:t xml:space="preserve">za 2024. godinu („Službeni glasnik Krapinsko-zagorske županije“ 66A/23) i glasi: </w:t>
      </w:r>
      <w:r>
        <w:rPr>
          <w:rFonts w:ascii="Calibri" w:hAnsi="Calibri"/>
          <w:sz w:val="22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15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Konto</w:t>
            </w:r>
          </w:p>
        </w:tc>
        <w:tc>
          <w:tcPr>
            <w:tcW w:w="1850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Opis</w:t>
            </w:r>
          </w:p>
        </w:tc>
        <w:tc>
          <w:tcPr>
            <w:tcW w:w="1560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2023. (€)</w:t>
            </w:r>
          </w:p>
        </w:tc>
        <w:tc>
          <w:tcPr>
            <w:tcW w:w="141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2024. (€)</w:t>
            </w:r>
          </w:p>
        </w:tc>
        <w:tc>
          <w:tcPr>
            <w:tcW w:w="1559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2025. (€)</w:t>
            </w:r>
          </w:p>
        </w:tc>
        <w:tc>
          <w:tcPr>
            <w:tcW w:w="141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2026. (€)</w:t>
            </w:r>
          </w:p>
        </w:tc>
      </w:tr>
    </w:tbl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396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64236</w:t>
            </w:r>
            <w:r>
              <w:rPr>
                <w:rFonts w:ascii="Calibri" w:hAnsi="Calibri"/>
                <w:b w:val="1"/>
                <w:sz w:val="22"/>
              </w:rPr>
              <w:tab/>
            </w:r>
            <w:r>
              <w:rPr>
                <w:rFonts w:ascii="Calibri" w:hAnsi="Calibri"/>
                <w:b w:val="1"/>
                <w:sz w:val="22"/>
              </w:rPr>
              <w:t xml:space="preserve"> Spomenička renta</w:t>
            </w:r>
            <w:r>
              <w:rPr>
                <w:rFonts w:ascii="Calibri" w:hAnsi="Calibri"/>
                <w:b w:val="1"/>
                <w:sz w:val="22"/>
              </w:rPr>
              <w:tab/>
            </w:r>
            <w:r>
              <w:rPr>
                <w:rFonts w:ascii="Calibri" w:hAnsi="Calibri"/>
                <w:b w:val="1"/>
                <w:sz w:val="22"/>
              </w:rPr>
              <w:tab/>
            </w:r>
            <w:r>
              <w:rPr>
                <w:rFonts w:ascii="Calibri" w:hAnsi="Calibri"/>
                <w:b w:val="1"/>
                <w:sz w:val="22"/>
              </w:rPr>
              <w:t xml:space="preserve"> </w:t>
            </w:r>
            <w:r>
              <w:rPr>
                <w:rFonts w:ascii="Calibri" w:hAnsi="Calibri"/>
                <w:b w:val="1"/>
                <w:sz w:val="22"/>
              </w:rPr>
              <w:tab/>
            </w:r>
          </w:p>
        </w:tc>
      </w:tr>
      <w:tr>
        <w:tc>
          <w:tcPr>
            <w:tcW w:w="9396" w:type="dxa"/>
            <w:gridSpan w:val="9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Aktivnost A100005 INSTITUT ZA ARHEOLOGIJU</w:t>
            </w:r>
          </w:p>
        </w:tc>
      </w:tr>
      <w:tr>
        <w:tc>
          <w:tcPr>
            <w:tcW w:w="3397" w:type="dxa"/>
            <w:gridSpan w:val="2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IZVOR 42. SPOMENIČKA RENTA </w:t>
            </w:r>
          </w:p>
        </w:tc>
        <w:tc>
          <w:tcPr>
            <w:tcW w:w="150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47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926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381199</w:t>
            </w:r>
          </w:p>
        </w:tc>
        <w:tc>
          <w:tcPr>
            <w:tcW w:w="2480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Donacija Institutu za arheologiju</w:t>
            </w:r>
          </w:p>
        </w:tc>
        <w:tc>
          <w:tcPr>
            <w:tcW w:w="149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8,00</w:t>
            </w:r>
          </w:p>
        </w:tc>
        <w:tc>
          <w:tcPr>
            <w:tcW w:w="149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12,00</w:t>
            </w:r>
          </w:p>
        </w:tc>
        <w:tc>
          <w:tcPr>
            <w:tcW w:w="1497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10,00</w:t>
            </w:r>
          </w:p>
        </w:tc>
        <w:tc>
          <w:tcPr>
            <w:tcW w:w="1497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10,00</w:t>
            </w:r>
          </w:p>
        </w:tc>
      </w:tr>
      <w:tr>
        <w:tc>
          <w:tcPr>
            <w:tcW w:w="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24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4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after="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II.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Ovaj izmjena Programa objavljuje se u „Službenom glasniku Krapinsko-zagorske županije“.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b w:val="1"/>
          <w:sz w:val="22"/>
        </w:rPr>
        <w:t xml:space="preserve">PREDSJEDNIK 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2024-12-16T14:49:30Z</dcterms:created>
  <dcterms:modified xsi:type="dcterms:W3CDTF">2024-12-16T14:49:30Z</dcterms:modified>
</cp:coreProperties>
</file>