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120-01/24-01/6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25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rujna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Na temelju članka 10. Zakona o plaćama u lokalnoj i područnoj (regionalnoj) samoupravi (NN 28/10, 10/23), te članka 30. Statuta Općine Hum na Sutli (Službeni glasnik Krapinsko-zagorske  županije br. 9/21) općinsko vijeće Općine Hum na Sutli na sjednici održanoj dana 24. rujna 2024. godine donijelo je 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D L U K U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KOEFICIJENTIMA ZA OBRAČUN PLAĆE SLUŽBENIKA I NAMJEŠTENIKA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U JEDINSTVENOM UPRAVNOM ODJELU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OPĆINE HUM NA SUTLI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1.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Ovom Odlukom određuju se koeficijenti za obračun plaće službenika i namještenika u Jedinstvenom upravnom odjelu Opčine Hum na Sutli (u daljnjem tekstu: Upravni odjel).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i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2.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Plaću službenika odnosno namještenika u Upravnom odjelu čini umnožak koeficijenta složenosti poslova radnog mjesta na koje je službenik, odnosno namještenik raspoređen i osnovice za obračun plaće, uvećan za 0,5% za svaki navršenu godinu radnog staža.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3.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Izrazi koji se koriste u ovoj Odluci koriste se za osobe, a u muškom su rodu, neutralni su i odnose se na muške i ženske osobe.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4.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Koeficijenti za obračun plaće službenika i namještenika Upravnog odjela  određuje se unutar raspona koeficijenta od 1,00 do 6,00.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5.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Koeficijenti iz članka 1. ovo Odluke utvrđuju se sukladno odredbama Uredbe klasifikaciji radnih mjesta u lokalnoj i područnoj (regionalnoj) samoupravi (NN 74/10, 125/14 i 48/23) za svako pojedino radni mjesto kako slijedi:</w:t>
      </w:r>
    </w:p>
    <w:p>
      <w:pPr>
        <w:spacing w:lineRule="atLeast" w:line="17" w:before="100" w:after="200" w:beforeAutospacing="0" w:afterAutospacing="0"/>
        <w:pStyle w:val="P0"/>
        <w:rPr>
          <w:rFonts w:ascii="Times New Roman" w:hAnsi="Times New Roman"/>
          <w:sz w:val="24"/>
        </w:rPr>
      </w:pP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060" w:type="dxa"/>
            <w:gridSpan w:val="4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2"/>
              </w:rPr>
              <w:t xml:space="preserve">RADNA MJESTA I. KATEGORIJE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Red.br.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Naziv radnog mjesta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Koeficijent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Klasifikacijski rang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PROČELNIK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2,50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</w:tr>
      <w:tr>
        <w:tc>
          <w:tcPr>
            <w:tcW w:w="9060" w:type="dxa"/>
            <w:gridSpan w:val="4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2"/>
              </w:rPr>
              <w:t xml:space="preserve">RADNA MJESTA III. KATEGORIJE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Red.br.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Naziv radnog mjesta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Koeficijent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Klasifikacijski rang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VIŠI REFERENT ZA INFRASTRUKTURU I PROVEDBU PROJEKATA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2,02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9.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2.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VIŠI REFERENT ZA FINANCIJE I PRORAČUN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2,02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9.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3.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VIŠI REFERENT ZA DRUŠTVENE DJELATNOSTI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1,83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9.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4.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ADMINISTRATIVNI REFERENT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1,70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11.</w:t>
            </w:r>
          </w:p>
        </w:tc>
      </w:tr>
      <w:tr>
        <w:tc>
          <w:tcPr>
            <w:tcW w:w="9060" w:type="dxa"/>
            <w:gridSpan w:val="4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2"/>
              </w:rPr>
              <w:t xml:space="preserve">RADNA MJESTA IV. KATEGORIJE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Red.br.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Naziv radnog mjesta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Koeficijent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Klasifikacijski rang</w:t>
            </w:r>
          </w:p>
        </w:tc>
      </w:tr>
      <w:tr>
        <w:tc>
          <w:tcPr>
            <w:tcW w:w="2265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SPREMAČICA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1,20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="100" w:after="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2"/>
              </w:rPr>
              <w:t>13.</w:t>
            </w:r>
          </w:p>
        </w:tc>
      </w:tr>
    </w:tbl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 </w:t>
      </w:r>
      <w:r>
        <w:rPr>
          <w:rFonts w:ascii="Times New Roman" w:hAnsi="Times New Roman"/>
          <w:b w:val="1"/>
          <w:color w:val="000000"/>
          <w:sz w:val="24"/>
        </w:rPr>
        <w:tab/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6.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U roku od 30 dana od dana stupanja na snagu ode Odluke osobe ovlaštene za donošenje rješenja o pravima i obvezama službenika i namještenika donijet će pojedinačna rješenja o plaći službenika i namještenika u JUO.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7</w:t>
      </w:r>
      <w:r>
        <w:rPr>
          <w:rFonts w:ascii="Calibri" w:hAnsi="Calibri"/>
          <w:color w:val="000000"/>
          <w:sz w:val="22"/>
        </w:rPr>
        <w:t>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Danom primjene ove Odluke prestaje važiti Odluka o koeficijentima za obračun plaća službenika i namještenika u Jedinstvenom upravnom odjelu općine Hum na Sutli KLASA: 120-01/24-01/6, URBROJ: 2140-14-01-24-1 od 25. lipnja 2024. godine  (Službeni glasnik Krapinsko-zagorske županije  broj: 28/24).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color w:val="000000"/>
          <w:sz w:val="22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8.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Ova Odluka stupa na snagu prvog dana od dana objave u „Službenom glasniku Krapinsko-zagorske županije“ i primjenjuje se počevši s plaćom za mjesec rujan 2024., koja se isplaćuje u mjesecu listopadu 2024. godine.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ind w:firstLine="708" w:left="2124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                                      PREDSJEDNIK OPĆINSKOG VIJEĆA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 xml:space="preserve">Mario Antonić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SLUŽBENI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2024-09-25T09:28:58Z</dcterms:created>
  <dcterms:modified xsi:type="dcterms:W3CDTF">2024-09-25T09:28:58Z</dcterms:modified>
</cp:coreProperties>
</file>